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706174" w:rsidRDefault="00F3471C" w:rsidP="00D844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Developmental Neurology Question 3</w:t>
      </w: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217676" w:rsidRDefault="00217676" w:rsidP="00D84454">
      <w:pPr>
        <w:spacing w:after="0" w:line="480" w:lineRule="auto"/>
        <w:rPr>
          <w:rFonts w:ascii="Times New Roman" w:hAnsi="Times New Roman" w:cs="Times New Roman"/>
          <w:sz w:val="24"/>
          <w:szCs w:val="24"/>
        </w:rPr>
      </w:pPr>
    </w:p>
    <w:p w:rsidR="00217676" w:rsidRDefault="00217676" w:rsidP="00D84454">
      <w:pPr>
        <w:spacing w:after="0" w:line="480" w:lineRule="auto"/>
        <w:jc w:val="center"/>
        <w:rPr>
          <w:rFonts w:ascii="Times New Roman" w:hAnsi="Times New Roman" w:cs="Times New Roman"/>
          <w:sz w:val="24"/>
          <w:szCs w:val="24"/>
        </w:rPr>
      </w:pPr>
    </w:p>
    <w:p w:rsidR="00D84454" w:rsidRDefault="00F3471C" w:rsidP="00D84454">
      <w:pPr>
        <w:spacing w:after="0"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Developmental Neurology </w:t>
      </w:r>
    </w:p>
    <w:p w:rsidR="000F63DF" w:rsidRPr="00B332B4" w:rsidRDefault="00F3471C" w:rsidP="00B332B4">
      <w:pPr>
        <w:pStyle w:val="ListParagraph"/>
        <w:numPr>
          <w:ilvl w:val="0"/>
          <w:numId w:val="6"/>
        </w:numPr>
        <w:spacing w:after="0" w:line="480" w:lineRule="auto"/>
        <w:rPr>
          <w:rFonts w:ascii="Times New Roman" w:hAnsi="Times New Roman" w:cs="Times New Roman"/>
          <w:b/>
          <w:i/>
          <w:sz w:val="24"/>
          <w:szCs w:val="24"/>
          <w:u w:val="single"/>
        </w:rPr>
      </w:pPr>
      <w:r w:rsidRPr="00B332B4">
        <w:rPr>
          <w:rFonts w:ascii="Times New Roman" w:hAnsi="Times New Roman" w:cs="Times New Roman"/>
          <w:i/>
          <w:sz w:val="24"/>
          <w:szCs w:val="24"/>
        </w:rPr>
        <w:t>In her haste, the postdoc never verified where in the genome the zombie mutation was located. Meaning, she has no idea if this is a new gene. Based on the infor</w:t>
      </w:r>
      <w:r w:rsidR="00B332B4" w:rsidRPr="00B332B4">
        <w:rPr>
          <w:rFonts w:ascii="Times New Roman" w:hAnsi="Times New Roman" w:cs="Times New Roman"/>
          <w:i/>
          <w:sz w:val="24"/>
          <w:szCs w:val="24"/>
        </w:rPr>
        <w:t xml:space="preserve">mation above, is it likely that </w:t>
      </w:r>
      <w:r w:rsidRPr="00B332B4">
        <w:rPr>
          <w:rFonts w:ascii="Times New Roman" w:hAnsi="Times New Roman" w:cs="Times New Roman"/>
          <w:i/>
          <w:sz w:val="24"/>
          <w:szCs w:val="24"/>
        </w:rPr>
        <w:t xml:space="preserve">the mutated Zombie gene is a netrin receptor? Why or why not? </w:t>
      </w:r>
    </w:p>
    <w:p w:rsidR="00B332B4" w:rsidRDefault="00F3471C" w:rsidP="00D84454">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217676" w:rsidRDefault="00F3471C" w:rsidP="00B332B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Yes, it is likely that the Zombie gene is a netrin receptor.</w:t>
      </w:r>
    </w:p>
    <w:p w:rsidR="005C6ED8" w:rsidRDefault="00F3471C" w:rsidP="00D84454">
      <w:pPr>
        <w:spacing w:after="0" w:line="480" w:lineRule="auto"/>
        <w:rPr>
          <w:rFonts w:ascii="Times New Roman" w:hAnsi="Times New Roman" w:cs="Times New Roman"/>
          <w:sz w:val="24"/>
          <w:szCs w:val="24"/>
        </w:rPr>
      </w:pPr>
      <w:r w:rsidRPr="005C6ED8">
        <w:rPr>
          <w:rFonts w:ascii="Times New Roman" w:hAnsi="Times New Roman" w:cs="Times New Roman"/>
          <w:b/>
          <w:sz w:val="24"/>
          <w:szCs w:val="24"/>
        </w:rPr>
        <w:t>Reason:</w:t>
      </w:r>
      <w:r>
        <w:rPr>
          <w:rFonts w:ascii="Times New Roman" w:hAnsi="Times New Roman" w:cs="Times New Roman"/>
          <w:sz w:val="24"/>
          <w:szCs w:val="24"/>
        </w:rPr>
        <w:t xml:space="preserve"> The role of Netrins in to guide neurons/ axons movement during development. Netron mainly</w:t>
      </w:r>
      <w:r w:rsidR="00D93A07">
        <w:rPr>
          <w:rFonts w:ascii="Times New Roman" w:hAnsi="Times New Roman" w:cs="Times New Roman"/>
          <w:sz w:val="24"/>
          <w:szCs w:val="24"/>
        </w:rPr>
        <w:t xml:space="preserve"> controls axons and cells in the CNS</w:t>
      </w:r>
      <w:r w:rsidR="00D84454">
        <w:rPr>
          <w:rFonts w:ascii="Times New Roman" w:hAnsi="Times New Roman" w:cs="Times New Roman"/>
          <w:sz w:val="24"/>
          <w:szCs w:val="24"/>
        </w:rPr>
        <w:fldChar w:fldCharType="begin"/>
      </w:r>
      <w:r w:rsidR="00D84454">
        <w:rPr>
          <w:rFonts w:ascii="Times New Roman" w:hAnsi="Times New Roman" w:cs="Times New Roman"/>
          <w:sz w:val="24"/>
          <w:szCs w:val="24"/>
        </w:rPr>
        <w:instrText xml:space="preserve"> ADDIN ZOTERO_ITEM CSL_CITATION {"citationID":"Hm1AJCi3","properties":{"formattedCitation":"(Larrieu-Lahargue, Thomas, &amp; Li, 2012)","plainCitation":"(Larrieu-Lahargue, Thomas, &amp; Li, 2012)","noteIndex":0},"citationItems":[{"id":864,"uris":["http://zotero.org/users/local/P2QftH6f/items/LCCM9PDJ"],"uri":["http://zotero.org/users/local/P2QftH6f/items/LCCM9PDJ"],"itemData":{"id":864,"type":"article-journal","title":"Netrin Ligands and Receptors: Lessons from neurons to the endothelium","container-title":"Trends in cardiovascular medicine","page":"44-47","volume":"22","issue":"2","source":"PubMed Central","abstract":"Netrins were initially identified as secreted ligands regulating axon guidance and migration through interaction with canonical receptors., Netrins were then shown necessary for development of a range of tissues, including lung, mammary gland and the vasculature., While new netrin receptors, as well as alternative ligands for classical netrin receptors, were described in the neuronal and epithelial fields, there was a singular focus on canonical netrin receptors in the vascular system, leading to controversy on netrin function and the nature of receptor-mediated netrin signaling in the endothelium., Herein, we summarize the current state of knowledge on netrin ligands and receptors and discuss questions, controversies and perspectives surrounding netrin functions and receptor identity in the vasculature.","DOI":"10.1016/j.tcm.2012.06.010","ISSN":"1050-1738","note":"PMID: 22841834\nPMCID: PMC3959782","title-short":"Netrin Ligands and Receptors","journalAbbreviation":"Trends Cardiovasc Med","author":[{"family":"Larrieu-Lahargue","given":"Frederic"},{"family":"Thomas","given":"Kirk R."},{"family":"Li","given":"Dean Y."}],"issued":{"date-parts":[["2012",2]]}}}],"schema":"https://github.com/citation-style-language/schema/raw/master/csl-citation.json"} </w:instrText>
      </w:r>
      <w:r w:rsidR="00D84454">
        <w:rPr>
          <w:rFonts w:ascii="Times New Roman" w:hAnsi="Times New Roman" w:cs="Times New Roman"/>
          <w:sz w:val="24"/>
          <w:szCs w:val="24"/>
        </w:rPr>
        <w:fldChar w:fldCharType="separate"/>
      </w:r>
      <w:r w:rsidR="00D84454" w:rsidRPr="00D84454">
        <w:rPr>
          <w:rFonts w:ascii="Times New Roman" w:hAnsi="Times New Roman" w:cs="Times New Roman"/>
          <w:sz w:val="24"/>
        </w:rPr>
        <w:t>(Larrieu-Lahargue, Thomas, &amp; Li, 2012)</w:t>
      </w:r>
      <w:r w:rsidR="00D84454">
        <w:rPr>
          <w:rFonts w:ascii="Times New Roman" w:hAnsi="Times New Roman" w:cs="Times New Roman"/>
          <w:sz w:val="24"/>
          <w:szCs w:val="24"/>
        </w:rPr>
        <w:fldChar w:fldCharType="end"/>
      </w:r>
      <w:r w:rsidR="00D93A07">
        <w:rPr>
          <w:rFonts w:ascii="Times New Roman" w:hAnsi="Times New Roman" w:cs="Times New Roman"/>
          <w:sz w:val="24"/>
          <w:szCs w:val="24"/>
        </w:rPr>
        <w:t>.  Receptors, on the other hand, bind</w:t>
      </w:r>
      <w:r>
        <w:rPr>
          <w:rFonts w:ascii="Times New Roman" w:hAnsi="Times New Roman" w:cs="Times New Roman"/>
          <w:sz w:val="24"/>
          <w:szCs w:val="24"/>
        </w:rPr>
        <w:t xml:space="preserve"> the signalling molecule to aid in</w:t>
      </w:r>
      <w:r w:rsidR="00D93A07">
        <w:rPr>
          <w:rFonts w:ascii="Times New Roman" w:hAnsi="Times New Roman" w:cs="Times New Roman"/>
          <w:sz w:val="24"/>
          <w:szCs w:val="24"/>
        </w:rPr>
        <w:t xml:space="preserve"> directing a cell </w:t>
      </w:r>
      <w:r w:rsidR="00987C59">
        <w:rPr>
          <w:rFonts w:ascii="Times New Roman" w:hAnsi="Times New Roman" w:cs="Times New Roman"/>
          <w:sz w:val="24"/>
          <w:szCs w:val="24"/>
        </w:rPr>
        <w:t>o</w:t>
      </w:r>
      <w:r w:rsidR="00D93A07">
        <w:rPr>
          <w:rFonts w:ascii="Times New Roman" w:hAnsi="Times New Roman" w:cs="Times New Roman"/>
          <w:sz w:val="24"/>
          <w:szCs w:val="24"/>
        </w:rPr>
        <w:t>r an axon towards a certain direction</w:t>
      </w:r>
      <w:r w:rsidR="00D84454">
        <w:rPr>
          <w:rFonts w:ascii="Times New Roman" w:hAnsi="Times New Roman" w:cs="Times New Roman"/>
          <w:sz w:val="24"/>
          <w:szCs w:val="24"/>
        </w:rPr>
        <w:fldChar w:fldCharType="begin"/>
      </w:r>
      <w:r w:rsidR="00D84454">
        <w:rPr>
          <w:rFonts w:ascii="Times New Roman" w:hAnsi="Times New Roman" w:cs="Times New Roman"/>
          <w:sz w:val="24"/>
          <w:szCs w:val="24"/>
        </w:rPr>
        <w:instrText xml:space="preserve"> ADDIN ZOTERO_ITEM CSL_CITATION {"citationID":"w3RYDzqu","properties":{"formattedCitation":"(Purves et al., 2001)","plainCitation":"(Purves et al., 2001)","noteIndex":0},"citationItems":[{"id":860,"uris":["http://zotero.org/users/local/P2QftH6f/items/QBMU9JQP"],"uri":["http://zotero.org/users/local/P2QftH6f/items/QBMU9JQP"],"itemData":{"id":860,"type":"article-journal","title":"Receptor Types","container-title":"Neuroscience. 2nd edition","source":"www.ncbi.nlm.nih.gov","abstract":"Regardless of the nature of the initiating signal, the cellular responses are determined by the presence of receptors that specifically bind the signaling molecules. Binding of signal molecules causes a conformational change in the receptor, which then triggers the subsequent signaling cascade. Given that chemical signals can act either at the plasma membrane or within the cytoplasm (or nucleus) of the target cell, it is not surprising that receptors are found on both sides of the plasma membrane.","URL":"https://www.ncbi.nlm.nih.gov/books/NBK10989/","language":"en","author":[{"family":"Purves","given":"Dale"},{"family":"Augustine","given":"George J."},{"family":"Fitzpatrick","given":"David"},{"family":"Katz","given":"Lawrence C."},{"family":"LaMantia","given":"Anthony-Samuel"},{"family":"McNamara","given":"James O."},{"family":"Williams","given":"S. Mark"}],"issued":{"date-parts":[["2001"]]},"accessed":{"date-parts":[["2019",4,27]]}}}],"schema":"https://github.com/citation-style-language/schema/raw/master/csl-citation.json"} </w:instrText>
      </w:r>
      <w:r w:rsidR="00D84454">
        <w:rPr>
          <w:rFonts w:ascii="Times New Roman" w:hAnsi="Times New Roman" w:cs="Times New Roman"/>
          <w:sz w:val="24"/>
          <w:szCs w:val="24"/>
        </w:rPr>
        <w:fldChar w:fldCharType="separate"/>
      </w:r>
      <w:r w:rsidR="00D84454" w:rsidRPr="00D84454">
        <w:rPr>
          <w:rFonts w:ascii="Times New Roman" w:hAnsi="Times New Roman" w:cs="Times New Roman"/>
          <w:sz w:val="24"/>
        </w:rPr>
        <w:t>(Purves et al., 2001)</w:t>
      </w:r>
      <w:r w:rsidR="00D84454">
        <w:rPr>
          <w:rFonts w:ascii="Times New Roman" w:hAnsi="Times New Roman" w:cs="Times New Roman"/>
          <w:sz w:val="24"/>
          <w:szCs w:val="24"/>
        </w:rPr>
        <w:fldChar w:fldCharType="end"/>
      </w:r>
      <w:r w:rsidR="00D93A07">
        <w:rPr>
          <w:rFonts w:ascii="Times New Roman" w:hAnsi="Times New Roman" w:cs="Times New Roman"/>
          <w:sz w:val="24"/>
          <w:szCs w:val="24"/>
        </w:rPr>
        <w:t xml:space="preserve">. </w:t>
      </w:r>
      <w:r w:rsidR="00FF6D2B">
        <w:rPr>
          <w:rFonts w:ascii="Times New Roman" w:hAnsi="Times New Roman" w:cs="Times New Roman"/>
          <w:sz w:val="24"/>
          <w:szCs w:val="24"/>
        </w:rPr>
        <w:t>I</w:t>
      </w:r>
      <w:r w:rsidR="00987C59">
        <w:rPr>
          <w:rFonts w:ascii="Times New Roman" w:hAnsi="Times New Roman" w:cs="Times New Roman"/>
          <w:sz w:val="24"/>
          <w:szCs w:val="24"/>
        </w:rPr>
        <w:t xml:space="preserve">f the Zombie gene is a netrin receptor when removed the axons should lose their ability to respond to </w:t>
      </w:r>
      <w:r w:rsidR="00FF6D2B">
        <w:rPr>
          <w:rFonts w:ascii="Times New Roman" w:hAnsi="Times New Roman" w:cs="Times New Roman"/>
          <w:sz w:val="24"/>
          <w:szCs w:val="24"/>
        </w:rPr>
        <w:t>netrin trigger</w:t>
      </w:r>
      <w:r w:rsidR="00987C59">
        <w:rPr>
          <w:rFonts w:ascii="Times New Roman" w:hAnsi="Times New Roman" w:cs="Times New Roman"/>
          <w:sz w:val="24"/>
          <w:szCs w:val="24"/>
        </w:rPr>
        <w:t xml:space="preserve">. On the other hand, if the Zombie gene was </w:t>
      </w:r>
      <w:r w:rsidR="00FF6D2B">
        <w:rPr>
          <w:rFonts w:ascii="Times New Roman" w:hAnsi="Times New Roman" w:cs="Times New Roman"/>
          <w:sz w:val="24"/>
          <w:szCs w:val="24"/>
        </w:rPr>
        <w:t>not a ne</w:t>
      </w:r>
      <w:r>
        <w:rPr>
          <w:rFonts w:ascii="Times New Roman" w:hAnsi="Times New Roman" w:cs="Times New Roman"/>
          <w:sz w:val="24"/>
          <w:szCs w:val="24"/>
        </w:rPr>
        <w:t>trin recepto</w:t>
      </w:r>
      <w:r>
        <w:rPr>
          <w:rFonts w:ascii="Times New Roman" w:hAnsi="Times New Roman" w:cs="Times New Roman"/>
          <w:sz w:val="24"/>
          <w:szCs w:val="24"/>
        </w:rPr>
        <w:t>r, there should be</w:t>
      </w:r>
      <w:r w:rsidR="00FF6D2B">
        <w:rPr>
          <w:rFonts w:ascii="Times New Roman" w:hAnsi="Times New Roman" w:cs="Times New Roman"/>
          <w:sz w:val="24"/>
          <w:szCs w:val="24"/>
        </w:rPr>
        <w:t xml:space="preserve"> no effect on response to axon guidance cues. In this experiment, knock out f</w:t>
      </w:r>
      <w:r w:rsidR="005D30B7">
        <w:rPr>
          <w:rFonts w:ascii="Times New Roman" w:hAnsi="Times New Roman" w:cs="Times New Roman"/>
          <w:sz w:val="24"/>
          <w:szCs w:val="24"/>
        </w:rPr>
        <w:t xml:space="preserve">ly was observed to lack direction in axon development </w:t>
      </w:r>
      <w:r>
        <w:rPr>
          <w:rFonts w:ascii="Times New Roman" w:hAnsi="Times New Roman" w:cs="Times New Roman"/>
          <w:sz w:val="24"/>
          <w:szCs w:val="24"/>
        </w:rPr>
        <w:t>–“</w:t>
      </w:r>
      <w:r w:rsidR="005D30B7">
        <w:rPr>
          <w:rFonts w:ascii="Times New Roman" w:hAnsi="Times New Roman" w:cs="Times New Roman"/>
          <w:sz w:val="24"/>
          <w:szCs w:val="24"/>
        </w:rPr>
        <w:t xml:space="preserve">the axons seem </w:t>
      </w:r>
      <w:r>
        <w:rPr>
          <w:rFonts w:ascii="Times New Roman" w:hAnsi="Times New Roman" w:cs="Times New Roman"/>
          <w:sz w:val="24"/>
          <w:szCs w:val="24"/>
        </w:rPr>
        <w:t xml:space="preserve">to grow </w:t>
      </w:r>
      <w:r w:rsidR="005D30B7">
        <w:rPr>
          <w:rFonts w:ascii="Times New Roman" w:hAnsi="Times New Roman" w:cs="Times New Roman"/>
          <w:sz w:val="24"/>
          <w:szCs w:val="24"/>
        </w:rPr>
        <w:t>randomly and</w:t>
      </w:r>
      <w:r>
        <w:rPr>
          <w:rFonts w:ascii="Times New Roman" w:hAnsi="Times New Roman" w:cs="Times New Roman"/>
          <w:sz w:val="24"/>
          <w:szCs w:val="24"/>
        </w:rPr>
        <w:t xml:space="preserve"> roam throughout the fly embryo.”</w:t>
      </w:r>
      <w:r w:rsidR="005D30B7">
        <w:rPr>
          <w:rFonts w:ascii="Times New Roman" w:hAnsi="Times New Roman" w:cs="Times New Roman"/>
          <w:sz w:val="24"/>
          <w:szCs w:val="24"/>
        </w:rPr>
        <w:t xml:space="preserve"> In addition, a control experiment</w:t>
      </w:r>
      <w:r>
        <w:rPr>
          <w:rFonts w:ascii="Times New Roman" w:hAnsi="Times New Roman" w:cs="Times New Roman"/>
          <w:sz w:val="24"/>
          <w:szCs w:val="24"/>
        </w:rPr>
        <w:t xml:space="preserve"> in</w:t>
      </w:r>
      <w:r>
        <w:rPr>
          <w:rFonts w:ascii="Times New Roman" w:hAnsi="Times New Roman" w:cs="Times New Roman"/>
          <w:sz w:val="24"/>
          <w:szCs w:val="24"/>
        </w:rPr>
        <w:t>volving a wild type neuron and the Zombie knoc</w:t>
      </w:r>
      <w:r w:rsidR="00D84454">
        <w:rPr>
          <w:rFonts w:ascii="Times New Roman" w:hAnsi="Times New Roman" w:cs="Times New Roman"/>
          <w:sz w:val="24"/>
          <w:szCs w:val="24"/>
        </w:rPr>
        <w:t>k</w:t>
      </w:r>
      <w:r>
        <w:rPr>
          <w:rFonts w:ascii="Times New Roman" w:hAnsi="Times New Roman" w:cs="Times New Roman"/>
          <w:sz w:val="24"/>
          <w:szCs w:val="24"/>
        </w:rPr>
        <w:t xml:space="preserve">out showed the presence of response in the wild type and lack of response in knock out to netrin trigger. Therefore, the results </w:t>
      </w:r>
      <w:r w:rsidR="00DC794F">
        <w:rPr>
          <w:rFonts w:ascii="Times New Roman" w:hAnsi="Times New Roman" w:cs="Times New Roman"/>
          <w:sz w:val="24"/>
          <w:szCs w:val="24"/>
        </w:rPr>
        <w:t>of the experiment suggest</w:t>
      </w:r>
      <w:r>
        <w:rPr>
          <w:rFonts w:ascii="Times New Roman" w:hAnsi="Times New Roman" w:cs="Times New Roman"/>
          <w:sz w:val="24"/>
          <w:szCs w:val="24"/>
        </w:rPr>
        <w:t xml:space="preserve"> that the mutated Zombie gene is a netrin receptor.</w:t>
      </w:r>
    </w:p>
    <w:p w:rsidR="00A95FB0" w:rsidRDefault="00F3471C" w:rsidP="00D8445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C794F" w:rsidRPr="00B332B4" w:rsidRDefault="00F3471C" w:rsidP="00B332B4">
      <w:pPr>
        <w:pStyle w:val="ListParagraph"/>
        <w:numPr>
          <w:ilvl w:val="0"/>
          <w:numId w:val="6"/>
        </w:numPr>
        <w:spacing w:after="0" w:line="480" w:lineRule="auto"/>
        <w:rPr>
          <w:rFonts w:ascii="Times New Roman" w:hAnsi="Times New Roman" w:cs="Times New Roman"/>
          <w:b/>
          <w:i/>
          <w:sz w:val="24"/>
          <w:szCs w:val="24"/>
        </w:rPr>
      </w:pPr>
      <w:r w:rsidRPr="00B332B4">
        <w:rPr>
          <w:rFonts w:ascii="Times New Roman" w:hAnsi="Times New Roman" w:cs="Times New Roman"/>
          <w:i/>
          <w:sz w:val="24"/>
          <w:szCs w:val="24"/>
        </w:rPr>
        <w:t>The postdoc’s PI suggested that the Zombie gene pro</w:t>
      </w:r>
      <w:r w:rsidR="00D84454" w:rsidRPr="00B332B4">
        <w:rPr>
          <w:rFonts w:ascii="Times New Roman" w:hAnsi="Times New Roman" w:cs="Times New Roman"/>
          <w:i/>
          <w:sz w:val="24"/>
          <w:szCs w:val="24"/>
        </w:rPr>
        <w:t xml:space="preserve">duct may be involved in protein </w:t>
      </w:r>
      <w:r w:rsidRPr="00B332B4">
        <w:rPr>
          <w:rFonts w:ascii="Times New Roman" w:hAnsi="Times New Roman" w:cs="Times New Roman"/>
          <w:i/>
          <w:sz w:val="24"/>
          <w:szCs w:val="24"/>
        </w:rPr>
        <w:t>translation of local actin that helps the growth cone alter course when presented with a new guidance cue. The postdoc thinks that the Zombie protein helps traffic receptors for guidance cues to the membrane of the growth cone. Design an experiment that ei</w:t>
      </w:r>
      <w:r w:rsidRPr="00B332B4">
        <w:rPr>
          <w:rFonts w:ascii="Times New Roman" w:hAnsi="Times New Roman" w:cs="Times New Roman"/>
          <w:i/>
          <w:sz w:val="24"/>
          <w:szCs w:val="24"/>
        </w:rPr>
        <w:t xml:space="preserve">ther confirms or disproves one of these positions. </w:t>
      </w:r>
    </w:p>
    <w:p w:rsidR="00B332B4" w:rsidRDefault="00B332B4" w:rsidP="00D84454">
      <w:pPr>
        <w:spacing w:after="0" w:line="480" w:lineRule="auto"/>
        <w:jc w:val="center"/>
        <w:rPr>
          <w:rFonts w:ascii="Times New Roman" w:hAnsi="Times New Roman" w:cs="Times New Roman"/>
          <w:sz w:val="24"/>
          <w:szCs w:val="24"/>
          <w:u w:val="single"/>
        </w:rPr>
      </w:pPr>
    </w:p>
    <w:p w:rsidR="00DC794F" w:rsidRPr="00650B89" w:rsidRDefault="00F3471C" w:rsidP="00D84454">
      <w:pPr>
        <w:spacing w:after="0" w:line="480" w:lineRule="auto"/>
        <w:jc w:val="center"/>
        <w:rPr>
          <w:rFonts w:ascii="Times New Roman" w:hAnsi="Times New Roman" w:cs="Times New Roman"/>
          <w:sz w:val="24"/>
          <w:szCs w:val="24"/>
          <w:u w:val="single"/>
        </w:rPr>
      </w:pPr>
      <w:r w:rsidRPr="00650B89">
        <w:rPr>
          <w:rFonts w:ascii="Times New Roman" w:hAnsi="Times New Roman" w:cs="Times New Roman"/>
          <w:sz w:val="24"/>
          <w:szCs w:val="24"/>
          <w:u w:val="single"/>
        </w:rPr>
        <w:t xml:space="preserve">An experiment that confirms or disapproves that the Zombie gene product </w:t>
      </w:r>
      <w:r w:rsidR="00650B89" w:rsidRPr="00650B89">
        <w:rPr>
          <w:rFonts w:ascii="Times New Roman" w:hAnsi="Times New Roman" w:cs="Times New Roman"/>
          <w:sz w:val="24"/>
          <w:szCs w:val="24"/>
          <w:u w:val="single"/>
        </w:rPr>
        <w:t>in protein translation’</w:t>
      </w:r>
    </w:p>
    <w:p w:rsidR="00650B89" w:rsidRPr="00B332B4" w:rsidRDefault="00F3471C" w:rsidP="00B332B4">
      <w:pPr>
        <w:spacing w:after="0" w:line="480" w:lineRule="auto"/>
        <w:jc w:val="center"/>
        <w:rPr>
          <w:rFonts w:ascii="Times New Roman" w:hAnsi="Times New Roman" w:cs="Times New Roman"/>
          <w:sz w:val="24"/>
          <w:szCs w:val="24"/>
          <w:u w:val="single"/>
        </w:rPr>
      </w:pPr>
      <w:r w:rsidRPr="00650B89">
        <w:rPr>
          <w:rFonts w:ascii="Times New Roman" w:hAnsi="Times New Roman" w:cs="Times New Roman"/>
          <w:sz w:val="24"/>
          <w:szCs w:val="24"/>
          <w:u w:val="single"/>
        </w:rPr>
        <w:t>(Postdoc’s PI position)</w:t>
      </w:r>
    </w:p>
    <w:p w:rsidR="00DC794F" w:rsidRDefault="00F3471C" w:rsidP="00D8445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332B4">
        <w:rPr>
          <w:rFonts w:ascii="Times New Roman" w:hAnsi="Times New Roman" w:cs="Times New Roman"/>
          <w:sz w:val="24"/>
          <w:szCs w:val="24"/>
        </w:rPr>
        <w:tab/>
      </w:r>
      <w:r w:rsidR="00AE46F7">
        <w:rPr>
          <w:rFonts w:ascii="Times New Roman" w:hAnsi="Times New Roman" w:cs="Times New Roman"/>
          <w:sz w:val="24"/>
          <w:szCs w:val="24"/>
        </w:rPr>
        <w:t>To determine how a gene functions in an organism,</w:t>
      </w:r>
      <w:r w:rsidR="008B0C79">
        <w:rPr>
          <w:rFonts w:ascii="Times New Roman" w:hAnsi="Times New Roman" w:cs="Times New Roman"/>
          <w:sz w:val="24"/>
          <w:szCs w:val="24"/>
        </w:rPr>
        <w:t xml:space="preserve"> the effective approach involves studying mutants that lack the gene. In this case, the experiment </w:t>
      </w:r>
      <w:r w:rsidR="0099436C">
        <w:rPr>
          <w:rFonts w:ascii="Times New Roman" w:hAnsi="Times New Roman" w:cs="Times New Roman"/>
          <w:sz w:val="24"/>
          <w:szCs w:val="24"/>
        </w:rPr>
        <w:t xml:space="preserve">will </w:t>
      </w:r>
      <w:r w:rsidR="008B0C79">
        <w:rPr>
          <w:rFonts w:ascii="Times New Roman" w:hAnsi="Times New Roman" w:cs="Times New Roman"/>
          <w:sz w:val="24"/>
          <w:szCs w:val="24"/>
        </w:rPr>
        <w:t>involve a fly with the Zombie gene as a control and a knockout</w:t>
      </w:r>
      <w:r>
        <w:rPr>
          <w:rFonts w:ascii="Times New Roman" w:hAnsi="Times New Roman" w:cs="Times New Roman"/>
          <w:sz w:val="24"/>
          <w:szCs w:val="24"/>
        </w:rPr>
        <w:t xml:space="preserve"> or altered version</w:t>
      </w:r>
      <w:r w:rsidR="00D84454">
        <w:rPr>
          <w:rFonts w:ascii="Times New Roman" w:hAnsi="Times New Roman" w:cs="Times New Roman"/>
          <w:sz w:val="24"/>
          <w:szCs w:val="24"/>
        </w:rPr>
        <w:fldChar w:fldCharType="begin"/>
      </w:r>
      <w:r w:rsidR="00D84454">
        <w:rPr>
          <w:rFonts w:ascii="Times New Roman" w:hAnsi="Times New Roman" w:cs="Times New Roman"/>
          <w:sz w:val="24"/>
          <w:szCs w:val="24"/>
        </w:rPr>
        <w:instrText xml:space="preserve"> ADDIN ZOTERO_ITEM CSL_CITATION {"citationID":"6iARV8f0","properties":{"formattedCitation":"(Alberts et al., 2002)","plainCitation":"(Alberts et al., 2002)","noteIndex":0},"citationItems":[{"id":862,"uris":["http://zotero.org/users/local/P2QftH6f/items/EVF6JMJL"],"uri":["http://zotero.org/users/local/P2QftH6f/items/EVF6JMJL"],"itemData":{"id":862,"type":"article-journal","title":"Studying Gene Expression and Function","container-title":"Molecular Biology of the Cell. 4th edition","source":"www.ncbi.nlm.nih.gov","abstract":"Ultimately, one wishes to determine how genes—and the proteins they encode—function in the intact organism. Although it may sound counterintuitive, one of the most direct ways to find out what a gene does is to see what happens to the organism when that gene is missing. Studying mutant organisms that have acquired changes or deletions in their nucleotide sequences is a time-honored practice in biology. Because mutations can interrupt cellular processes, mutants often hold the key to understanding gene function. In the classical approach to the important field of genetics, one begins by isolating mutants that have an interesting or unusual appearance: fruit flies with white eyes or curly wings, for example. Working backward from the phenotype—the appearance or behavior of the individual—one then determines the organism's genotype, the form of the gene responsible for that characteristic (Panel 8-1).","URL":"https://www.ncbi.nlm.nih.gov/books/NBK26818/","language":"en","author":[{"family":"Alberts","given":"Bruce"},{"family":"Johnson","given":"Alexander"},{"family":"Lewis","given":"Julian"},{"family":"Raff","given":"Martin"},{"family":"Roberts","given":"Keith"},{"family":"Walter","given":"Peter"}],"issued":{"date-parts":[["2002"]]},"accessed":{"date-parts":[["2019",4,27]]}}}],"schema":"https://github.com/citation-style-language/schema/raw/master/csl-citation.json"} </w:instrText>
      </w:r>
      <w:r w:rsidR="00D84454">
        <w:rPr>
          <w:rFonts w:ascii="Times New Roman" w:hAnsi="Times New Roman" w:cs="Times New Roman"/>
          <w:sz w:val="24"/>
          <w:szCs w:val="24"/>
        </w:rPr>
        <w:fldChar w:fldCharType="separate"/>
      </w:r>
      <w:r w:rsidR="00D84454" w:rsidRPr="00D84454">
        <w:rPr>
          <w:rFonts w:ascii="Times New Roman" w:hAnsi="Times New Roman" w:cs="Times New Roman"/>
          <w:sz w:val="24"/>
        </w:rPr>
        <w:t>(Alberts et al., 2002)</w:t>
      </w:r>
      <w:r w:rsidR="00D84454">
        <w:rPr>
          <w:rFonts w:ascii="Times New Roman" w:hAnsi="Times New Roman" w:cs="Times New Roman"/>
          <w:sz w:val="24"/>
          <w:szCs w:val="24"/>
        </w:rPr>
        <w:fldChar w:fldCharType="end"/>
      </w:r>
      <w:r w:rsidR="008B0C79">
        <w:rPr>
          <w:rFonts w:ascii="Times New Roman" w:hAnsi="Times New Roman" w:cs="Times New Roman"/>
          <w:sz w:val="24"/>
          <w:szCs w:val="24"/>
        </w:rPr>
        <w:t xml:space="preserve">. </w:t>
      </w:r>
      <w:r w:rsidR="001C0FD0">
        <w:rPr>
          <w:rFonts w:ascii="Times New Roman" w:hAnsi="Times New Roman" w:cs="Times New Roman"/>
          <w:sz w:val="24"/>
          <w:szCs w:val="24"/>
        </w:rPr>
        <w:t>The conclusions</w:t>
      </w:r>
      <w:r w:rsidR="008B0C79">
        <w:rPr>
          <w:rFonts w:ascii="Times New Roman" w:hAnsi="Times New Roman" w:cs="Times New Roman"/>
          <w:sz w:val="24"/>
          <w:szCs w:val="24"/>
        </w:rPr>
        <w:t xml:space="preserve"> will be based on the ability of the organism’s gr</w:t>
      </w:r>
      <w:r w:rsidR="00D84454">
        <w:rPr>
          <w:rFonts w:ascii="Times New Roman" w:hAnsi="Times New Roman" w:cs="Times New Roman"/>
          <w:sz w:val="24"/>
          <w:szCs w:val="24"/>
        </w:rPr>
        <w:t>owth cone to alter course when exposed in a netrin gradient</w:t>
      </w:r>
      <w:r w:rsidR="008B0C79">
        <w:rPr>
          <w:rFonts w:ascii="Times New Roman" w:hAnsi="Times New Roman" w:cs="Times New Roman"/>
          <w:sz w:val="24"/>
          <w:szCs w:val="24"/>
        </w:rPr>
        <w:t xml:space="preserve">.  </w:t>
      </w:r>
    </w:p>
    <w:p w:rsidR="00D84454" w:rsidRPr="00D84454" w:rsidRDefault="00F3471C" w:rsidP="00D84454">
      <w:pPr>
        <w:spacing w:after="0" w:line="480" w:lineRule="auto"/>
        <w:jc w:val="center"/>
        <w:rPr>
          <w:rFonts w:ascii="Times New Roman" w:hAnsi="Times New Roman" w:cs="Times New Roman"/>
          <w:sz w:val="24"/>
          <w:szCs w:val="24"/>
          <w:u w:val="single"/>
        </w:rPr>
      </w:pPr>
      <w:r w:rsidRPr="00D84454">
        <w:rPr>
          <w:rFonts w:ascii="Times New Roman" w:hAnsi="Times New Roman" w:cs="Times New Roman"/>
          <w:sz w:val="24"/>
          <w:szCs w:val="24"/>
          <w:u w:val="single"/>
        </w:rPr>
        <w:t>Experiment</w:t>
      </w:r>
    </w:p>
    <w:p w:rsidR="007833AB" w:rsidRDefault="00F3471C" w:rsidP="00D8445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experiment will involve two groups of wild type neurons, neurons with the Zombie gene present. In one group of the neurons protein synthesis will be inhibited and in the other group translation will be allowed.  Then the two groups will be exposed to </w:t>
      </w:r>
      <w:r>
        <w:rPr>
          <w:rFonts w:ascii="Times New Roman" w:hAnsi="Times New Roman" w:cs="Times New Roman"/>
          <w:sz w:val="24"/>
          <w:szCs w:val="24"/>
        </w:rPr>
        <w:t>a netrin gradient. Then the direction of the growth cone will be observed.</w:t>
      </w:r>
    </w:p>
    <w:p w:rsidR="007833AB" w:rsidRPr="00D84454" w:rsidRDefault="00F3471C" w:rsidP="00D84454">
      <w:pPr>
        <w:spacing w:after="0" w:line="480" w:lineRule="auto"/>
        <w:rPr>
          <w:rFonts w:ascii="Times New Roman" w:hAnsi="Times New Roman" w:cs="Times New Roman"/>
          <w:sz w:val="24"/>
          <w:szCs w:val="24"/>
          <w:u w:val="single"/>
        </w:rPr>
      </w:pPr>
      <w:r w:rsidRPr="00D84454">
        <w:rPr>
          <w:rFonts w:ascii="Times New Roman" w:hAnsi="Times New Roman" w:cs="Times New Roman"/>
          <w:sz w:val="24"/>
          <w:szCs w:val="24"/>
          <w:u w:val="single"/>
        </w:rPr>
        <w:t xml:space="preserve">Expected Results </w:t>
      </w:r>
    </w:p>
    <w:p w:rsidR="007833AB" w:rsidRDefault="00F3471C" w:rsidP="00D8445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If the Zombie gene is involved in protein translation of the local actin;</w:t>
      </w:r>
    </w:p>
    <w:p w:rsidR="007833AB" w:rsidRPr="00370E02" w:rsidRDefault="00F3471C" w:rsidP="00D84454">
      <w:pPr>
        <w:pStyle w:val="ListParagraph"/>
        <w:numPr>
          <w:ilvl w:val="1"/>
          <w:numId w:val="3"/>
        </w:numPr>
        <w:spacing w:after="0" w:line="480" w:lineRule="auto"/>
        <w:rPr>
          <w:rFonts w:ascii="Times New Roman" w:hAnsi="Times New Roman" w:cs="Times New Roman"/>
          <w:sz w:val="24"/>
          <w:szCs w:val="24"/>
        </w:rPr>
      </w:pPr>
      <w:r w:rsidRPr="00370E02">
        <w:rPr>
          <w:rFonts w:ascii="Times New Roman" w:hAnsi="Times New Roman" w:cs="Times New Roman"/>
          <w:sz w:val="24"/>
          <w:szCs w:val="24"/>
        </w:rPr>
        <w:t xml:space="preserve">When exposed to a netrin gradient, the growth cone of the </w:t>
      </w:r>
      <w:r w:rsidR="00370E02" w:rsidRPr="00370E02">
        <w:rPr>
          <w:rFonts w:ascii="Times New Roman" w:hAnsi="Times New Roman" w:cs="Times New Roman"/>
          <w:sz w:val="24"/>
          <w:szCs w:val="24"/>
        </w:rPr>
        <w:t>neutrons with protein synthesis allowed is expected to respond by turning in the direction of the netrin source.</w:t>
      </w:r>
    </w:p>
    <w:p w:rsidR="00370E02" w:rsidRDefault="00F3471C" w:rsidP="00D84454">
      <w:pPr>
        <w:pStyle w:val="ListParagraph"/>
        <w:numPr>
          <w:ilvl w:val="1"/>
          <w:numId w:val="3"/>
        </w:numPr>
        <w:spacing w:after="0" w:line="480" w:lineRule="auto"/>
        <w:rPr>
          <w:rFonts w:ascii="Times New Roman" w:hAnsi="Times New Roman" w:cs="Times New Roman"/>
          <w:sz w:val="24"/>
          <w:szCs w:val="24"/>
        </w:rPr>
      </w:pPr>
      <w:r w:rsidRPr="00370E02">
        <w:rPr>
          <w:rFonts w:ascii="Times New Roman" w:hAnsi="Times New Roman" w:cs="Times New Roman"/>
          <w:sz w:val="24"/>
          <w:szCs w:val="24"/>
        </w:rPr>
        <w:t xml:space="preserve">When exposed to a netrin gradient, the growth cone of the neutron with protein synthesis inhibited, are expected to grow randomly and roam throughout the fly embryo.   </w:t>
      </w:r>
    </w:p>
    <w:p w:rsidR="00370E02" w:rsidRDefault="00F3471C" w:rsidP="00D84454">
      <w:pPr>
        <w:spacing w:after="0" w:line="480" w:lineRule="auto"/>
        <w:rPr>
          <w:rFonts w:ascii="Times New Roman" w:hAnsi="Times New Roman" w:cs="Times New Roman"/>
          <w:sz w:val="24"/>
          <w:szCs w:val="24"/>
        </w:rPr>
      </w:pPr>
      <w:r>
        <w:rPr>
          <w:rFonts w:ascii="Times New Roman" w:hAnsi="Times New Roman" w:cs="Times New Roman"/>
          <w:sz w:val="24"/>
          <w:szCs w:val="24"/>
        </w:rPr>
        <w:t>If the in both groups growth cone responds by turning in the direction of the netrin source, the zombie gene is not involved in the translation of the local actin responsible for helping the growth cone alter course when presented with a new guidance cue.</w:t>
      </w:r>
    </w:p>
    <w:p w:rsidR="00D84454" w:rsidRDefault="00D8445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B332B4" w:rsidRDefault="00B332B4" w:rsidP="00D84454">
      <w:pPr>
        <w:spacing w:after="0" w:line="480" w:lineRule="auto"/>
        <w:rPr>
          <w:rFonts w:ascii="Times New Roman" w:hAnsi="Times New Roman" w:cs="Times New Roman"/>
          <w:sz w:val="24"/>
          <w:szCs w:val="24"/>
        </w:rPr>
      </w:pPr>
    </w:p>
    <w:p w:rsidR="00D84454" w:rsidRDefault="00F3471C" w:rsidP="00375DB9">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D84454" w:rsidRPr="00D84454" w:rsidRDefault="00F3471C" w:rsidP="00D84454">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D84454">
        <w:rPr>
          <w:rFonts w:ascii="Times New Roman" w:hAnsi="Times New Roman" w:cs="Times New Roman"/>
          <w:sz w:val="24"/>
        </w:rPr>
        <w:t xml:space="preserve">Alberts, B., Johnson, A., Lewis, J., Raff, M., Roberts, K., &amp; Walter, P. (2002). Studying Gene Expression and Function. </w:t>
      </w:r>
      <w:r w:rsidRPr="00D84454">
        <w:rPr>
          <w:rFonts w:ascii="Times New Roman" w:hAnsi="Times New Roman" w:cs="Times New Roman"/>
          <w:i/>
          <w:iCs/>
          <w:sz w:val="24"/>
        </w:rPr>
        <w:t xml:space="preserve">Molecular Biology of the </w:t>
      </w:r>
      <w:r w:rsidRPr="00D84454">
        <w:rPr>
          <w:rFonts w:ascii="Times New Roman" w:hAnsi="Times New Roman" w:cs="Times New Roman"/>
          <w:i/>
          <w:iCs/>
          <w:sz w:val="24"/>
        </w:rPr>
        <w:t>Cell. 4th Edition</w:t>
      </w:r>
      <w:r w:rsidRPr="00D84454">
        <w:rPr>
          <w:rFonts w:ascii="Times New Roman" w:hAnsi="Times New Roman" w:cs="Times New Roman"/>
          <w:sz w:val="24"/>
        </w:rPr>
        <w:t>. Retrieved from https://www.ncbi.nlm.nih.gov/books/NBK26818/</w:t>
      </w:r>
    </w:p>
    <w:p w:rsidR="00D84454" w:rsidRPr="00D84454" w:rsidRDefault="00F3471C" w:rsidP="00D84454">
      <w:pPr>
        <w:pStyle w:val="Bibliography"/>
        <w:rPr>
          <w:rFonts w:ascii="Times New Roman" w:hAnsi="Times New Roman" w:cs="Times New Roman"/>
          <w:sz w:val="24"/>
        </w:rPr>
      </w:pPr>
      <w:r w:rsidRPr="00D84454">
        <w:rPr>
          <w:rFonts w:ascii="Times New Roman" w:hAnsi="Times New Roman" w:cs="Times New Roman"/>
          <w:sz w:val="24"/>
        </w:rPr>
        <w:t xml:space="preserve">Larrieu-Lahargue, F., Thomas, K. R., &amp; Li, D. Y. (2012). Netrin Ligands and Receptors: Lessons from neurons to the endothelium. </w:t>
      </w:r>
      <w:r w:rsidRPr="00D84454">
        <w:rPr>
          <w:rFonts w:ascii="Times New Roman" w:hAnsi="Times New Roman" w:cs="Times New Roman"/>
          <w:i/>
          <w:iCs/>
          <w:sz w:val="24"/>
        </w:rPr>
        <w:t>Trends in Cardiovascular Medicine</w:t>
      </w:r>
      <w:r w:rsidRPr="00D84454">
        <w:rPr>
          <w:rFonts w:ascii="Times New Roman" w:hAnsi="Times New Roman" w:cs="Times New Roman"/>
          <w:sz w:val="24"/>
        </w:rPr>
        <w:t xml:space="preserve">, </w:t>
      </w:r>
      <w:r w:rsidRPr="00D84454">
        <w:rPr>
          <w:rFonts w:ascii="Times New Roman" w:hAnsi="Times New Roman" w:cs="Times New Roman"/>
          <w:i/>
          <w:iCs/>
          <w:sz w:val="24"/>
        </w:rPr>
        <w:t>22</w:t>
      </w:r>
      <w:r w:rsidRPr="00D84454">
        <w:rPr>
          <w:rFonts w:ascii="Times New Roman" w:hAnsi="Times New Roman" w:cs="Times New Roman"/>
          <w:sz w:val="24"/>
        </w:rPr>
        <w:t xml:space="preserve">(2), 44–47. </w:t>
      </w:r>
      <w:r w:rsidRPr="00D84454">
        <w:rPr>
          <w:rFonts w:ascii="Times New Roman" w:hAnsi="Times New Roman" w:cs="Times New Roman"/>
          <w:sz w:val="24"/>
        </w:rPr>
        <w:t>https://doi.org/10.1016/j.tcm.2012.06.010</w:t>
      </w:r>
    </w:p>
    <w:p w:rsidR="00D84454" w:rsidRPr="00D84454" w:rsidRDefault="00F3471C" w:rsidP="00D84454">
      <w:pPr>
        <w:pStyle w:val="Bibliography"/>
        <w:rPr>
          <w:rFonts w:ascii="Times New Roman" w:hAnsi="Times New Roman" w:cs="Times New Roman"/>
          <w:sz w:val="24"/>
        </w:rPr>
      </w:pPr>
      <w:r w:rsidRPr="00D84454">
        <w:rPr>
          <w:rFonts w:ascii="Times New Roman" w:hAnsi="Times New Roman" w:cs="Times New Roman"/>
          <w:sz w:val="24"/>
        </w:rPr>
        <w:t xml:space="preserve">Purves, D., Augustine, G. J., Fitzpatrick, D., Katz, L. C., LaMantia, A.-S., McNamara, J. O., &amp; Williams, S. M. (2001). Receptor Types. </w:t>
      </w:r>
      <w:r w:rsidRPr="00D84454">
        <w:rPr>
          <w:rFonts w:ascii="Times New Roman" w:hAnsi="Times New Roman" w:cs="Times New Roman"/>
          <w:i/>
          <w:iCs/>
          <w:sz w:val="24"/>
        </w:rPr>
        <w:t>Neuroscience. 2nd Edition</w:t>
      </w:r>
      <w:r w:rsidRPr="00D84454">
        <w:rPr>
          <w:rFonts w:ascii="Times New Roman" w:hAnsi="Times New Roman" w:cs="Times New Roman"/>
          <w:sz w:val="24"/>
        </w:rPr>
        <w:t>. Retrieved from https://www.ncbi.nlm.nih.gov/books/N</w:t>
      </w:r>
      <w:r w:rsidRPr="00D84454">
        <w:rPr>
          <w:rFonts w:ascii="Times New Roman" w:hAnsi="Times New Roman" w:cs="Times New Roman"/>
          <w:sz w:val="24"/>
        </w:rPr>
        <w:t>BK10989/</w:t>
      </w:r>
    </w:p>
    <w:p w:rsidR="00D84454" w:rsidRPr="00370E02" w:rsidRDefault="00F3471C" w:rsidP="00D84454">
      <w:pPr>
        <w:spacing w:after="0"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D84454" w:rsidRPr="00370E02" w:rsidSect="002176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71C" w:rsidRDefault="00F3471C">
      <w:pPr>
        <w:spacing w:after="0" w:line="240" w:lineRule="auto"/>
      </w:pPr>
      <w:r>
        <w:separator/>
      </w:r>
    </w:p>
  </w:endnote>
  <w:endnote w:type="continuationSeparator" w:id="0">
    <w:p w:rsidR="00F3471C" w:rsidRDefault="00F34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71C" w:rsidRDefault="00F3471C">
      <w:pPr>
        <w:spacing w:after="0" w:line="240" w:lineRule="auto"/>
      </w:pPr>
      <w:r>
        <w:separator/>
      </w:r>
    </w:p>
  </w:footnote>
  <w:footnote w:type="continuationSeparator" w:id="0">
    <w:p w:rsidR="00F3471C" w:rsidRDefault="00F347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676" w:rsidRDefault="00F3471C">
    <w:pPr>
      <w:pStyle w:val="Header"/>
    </w:pPr>
    <w:r>
      <w:rPr>
        <w:rFonts w:ascii="Times New Roman" w:hAnsi="Times New Roman" w:cs="Times New Roman"/>
        <w:sz w:val="24"/>
        <w:szCs w:val="24"/>
      </w:rPr>
      <w:t xml:space="preserve">DEVELOPMENTAL NEUROLOGY                                                                                         </w:t>
    </w:r>
    <w:r w:rsidRPr="00217676">
      <w:rPr>
        <w:rFonts w:ascii="Times New Roman" w:hAnsi="Times New Roman" w:cs="Times New Roman"/>
        <w:sz w:val="24"/>
        <w:szCs w:val="24"/>
      </w:rPr>
      <w:fldChar w:fldCharType="begin"/>
    </w:r>
    <w:r w:rsidRPr="00217676">
      <w:rPr>
        <w:rFonts w:ascii="Times New Roman" w:hAnsi="Times New Roman" w:cs="Times New Roman"/>
        <w:sz w:val="24"/>
        <w:szCs w:val="24"/>
      </w:rPr>
      <w:instrText xml:space="preserve"> PAGE   \* MERGEFORMAT </w:instrText>
    </w:r>
    <w:r w:rsidRPr="00217676">
      <w:rPr>
        <w:rFonts w:ascii="Times New Roman" w:hAnsi="Times New Roman" w:cs="Times New Roman"/>
        <w:sz w:val="24"/>
        <w:szCs w:val="24"/>
      </w:rPr>
      <w:fldChar w:fldCharType="separate"/>
    </w:r>
    <w:r w:rsidR="00375DB9">
      <w:rPr>
        <w:rFonts w:ascii="Times New Roman" w:hAnsi="Times New Roman" w:cs="Times New Roman"/>
        <w:noProof/>
        <w:sz w:val="24"/>
        <w:szCs w:val="24"/>
      </w:rPr>
      <w:t>5</w:t>
    </w:r>
    <w:r w:rsidRPr="00217676">
      <w:rPr>
        <w:rFonts w:ascii="Times New Roman" w:hAnsi="Times New Roman" w:cs="Times New Roman"/>
        <w:noProof/>
        <w:sz w:val="24"/>
        <w:szCs w:val="24"/>
      </w:rPr>
      <w:fldChar w:fldCharType="end"/>
    </w:r>
  </w:p>
  <w:p w:rsidR="00217676" w:rsidRPr="00217676" w:rsidRDefault="0021767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676" w:rsidRPr="00217676" w:rsidRDefault="00F3471C">
    <w:pPr>
      <w:pStyle w:val="Header"/>
      <w:rPr>
        <w:rFonts w:ascii="Times New Roman" w:hAnsi="Times New Roman" w:cs="Times New Roman"/>
        <w:sz w:val="24"/>
        <w:szCs w:val="24"/>
      </w:rPr>
    </w:pPr>
    <w:r>
      <w:rPr>
        <w:rFonts w:ascii="Times New Roman" w:hAnsi="Times New Roman" w:cs="Times New Roman"/>
        <w:sz w:val="24"/>
        <w:szCs w:val="24"/>
      </w:rPr>
      <w:t xml:space="preserve">Running head: DEVELOPMENTAL </w:t>
    </w:r>
    <w:r>
      <w:rPr>
        <w:rFonts w:ascii="Times New Roman" w:hAnsi="Times New Roman" w:cs="Times New Roman"/>
        <w:sz w:val="24"/>
        <w:szCs w:val="24"/>
      </w:rPr>
      <w:t xml:space="preserve">NEUROLOGY                                                                  </w:t>
    </w:r>
    <w:r w:rsidRPr="00217676">
      <w:rPr>
        <w:rFonts w:ascii="Times New Roman" w:hAnsi="Times New Roman" w:cs="Times New Roman"/>
        <w:sz w:val="24"/>
        <w:szCs w:val="24"/>
      </w:rPr>
      <w:fldChar w:fldCharType="begin"/>
    </w:r>
    <w:r w:rsidRPr="00217676">
      <w:rPr>
        <w:rFonts w:ascii="Times New Roman" w:hAnsi="Times New Roman" w:cs="Times New Roman"/>
        <w:sz w:val="24"/>
        <w:szCs w:val="24"/>
      </w:rPr>
      <w:instrText xml:space="preserve"> PAGE   \* MERGEFORMAT </w:instrText>
    </w:r>
    <w:r w:rsidRPr="00217676">
      <w:rPr>
        <w:rFonts w:ascii="Times New Roman" w:hAnsi="Times New Roman" w:cs="Times New Roman"/>
        <w:sz w:val="24"/>
        <w:szCs w:val="24"/>
      </w:rPr>
      <w:fldChar w:fldCharType="separate"/>
    </w:r>
    <w:r>
      <w:rPr>
        <w:rFonts w:ascii="Times New Roman" w:hAnsi="Times New Roman" w:cs="Times New Roman"/>
        <w:noProof/>
        <w:sz w:val="24"/>
        <w:szCs w:val="24"/>
      </w:rPr>
      <w:t>1</w:t>
    </w:r>
    <w:r w:rsidRPr="0021767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46A66"/>
    <w:multiLevelType w:val="hybridMultilevel"/>
    <w:tmpl w:val="159C592C"/>
    <w:lvl w:ilvl="0" w:tplc="2EC0F9D8">
      <w:start w:val="1"/>
      <w:numFmt w:val="decimal"/>
      <w:lvlText w:val="%1."/>
      <w:lvlJc w:val="left"/>
      <w:pPr>
        <w:ind w:left="720" w:hanging="360"/>
      </w:pPr>
    </w:lvl>
    <w:lvl w:ilvl="1" w:tplc="962CC14E" w:tentative="1">
      <w:start w:val="1"/>
      <w:numFmt w:val="lowerLetter"/>
      <w:lvlText w:val="%2."/>
      <w:lvlJc w:val="left"/>
      <w:pPr>
        <w:ind w:left="1440" w:hanging="360"/>
      </w:pPr>
    </w:lvl>
    <w:lvl w:ilvl="2" w:tplc="75A0FAE6" w:tentative="1">
      <w:start w:val="1"/>
      <w:numFmt w:val="lowerRoman"/>
      <w:lvlText w:val="%3."/>
      <w:lvlJc w:val="right"/>
      <w:pPr>
        <w:ind w:left="2160" w:hanging="180"/>
      </w:pPr>
    </w:lvl>
    <w:lvl w:ilvl="3" w:tplc="DA6845A6" w:tentative="1">
      <w:start w:val="1"/>
      <w:numFmt w:val="decimal"/>
      <w:lvlText w:val="%4."/>
      <w:lvlJc w:val="left"/>
      <w:pPr>
        <w:ind w:left="2880" w:hanging="360"/>
      </w:pPr>
    </w:lvl>
    <w:lvl w:ilvl="4" w:tplc="7130D164" w:tentative="1">
      <w:start w:val="1"/>
      <w:numFmt w:val="lowerLetter"/>
      <w:lvlText w:val="%5."/>
      <w:lvlJc w:val="left"/>
      <w:pPr>
        <w:ind w:left="3600" w:hanging="360"/>
      </w:pPr>
    </w:lvl>
    <w:lvl w:ilvl="5" w:tplc="6A2C9174" w:tentative="1">
      <w:start w:val="1"/>
      <w:numFmt w:val="lowerRoman"/>
      <w:lvlText w:val="%6."/>
      <w:lvlJc w:val="right"/>
      <w:pPr>
        <w:ind w:left="4320" w:hanging="180"/>
      </w:pPr>
    </w:lvl>
    <w:lvl w:ilvl="6" w:tplc="956AAF18" w:tentative="1">
      <w:start w:val="1"/>
      <w:numFmt w:val="decimal"/>
      <w:lvlText w:val="%7."/>
      <w:lvlJc w:val="left"/>
      <w:pPr>
        <w:ind w:left="5040" w:hanging="360"/>
      </w:pPr>
    </w:lvl>
    <w:lvl w:ilvl="7" w:tplc="B2D4FD2C" w:tentative="1">
      <w:start w:val="1"/>
      <w:numFmt w:val="lowerLetter"/>
      <w:lvlText w:val="%8."/>
      <w:lvlJc w:val="left"/>
      <w:pPr>
        <w:ind w:left="5760" w:hanging="360"/>
      </w:pPr>
    </w:lvl>
    <w:lvl w:ilvl="8" w:tplc="4024FE94" w:tentative="1">
      <w:start w:val="1"/>
      <w:numFmt w:val="lowerRoman"/>
      <w:lvlText w:val="%9."/>
      <w:lvlJc w:val="right"/>
      <w:pPr>
        <w:ind w:left="6480" w:hanging="180"/>
      </w:pPr>
    </w:lvl>
  </w:abstractNum>
  <w:abstractNum w:abstractNumId="1">
    <w:nsid w:val="1F8B4B27"/>
    <w:multiLevelType w:val="hybridMultilevel"/>
    <w:tmpl w:val="AD6A5578"/>
    <w:lvl w:ilvl="0" w:tplc="B150FCF4">
      <w:start w:val="1"/>
      <w:numFmt w:val="decimal"/>
      <w:lvlText w:val="%1."/>
      <w:lvlJc w:val="left"/>
      <w:pPr>
        <w:ind w:left="360" w:hanging="360"/>
      </w:pPr>
    </w:lvl>
    <w:lvl w:ilvl="1" w:tplc="A7561B8A">
      <w:start w:val="1"/>
      <w:numFmt w:val="lowerLetter"/>
      <w:lvlText w:val="%2."/>
      <w:lvlJc w:val="left"/>
      <w:pPr>
        <w:ind w:left="1080" w:hanging="360"/>
      </w:pPr>
    </w:lvl>
    <w:lvl w:ilvl="2" w:tplc="FC0872EE" w:tentative="1">
      <w:start w:val="1"/>
      <w:numFmt w:val="lowerRoman"/>
      <w:lvlText w:val="%3."/>
      <w:lvlJc w:val="right"/>
      <w:pPr>
        <w:ind w:left="1800" w:hanging="180"/>
      </w:pPr>
    </w:lvl>
    <w:lvl w:ilvl="3" w:tplc="9D78A686" w:tentative="1">
      <w:start w:val="1"/>
      <w:numFmt w:val="decimal"/>
      <w:lvlText w:val="%4."/>
      <w:lvlJc w:val="left"/>
      <w:pPr>
        <w:ind w:left="2520" w:hanging="360"/>
      </w:pPr>
    </w:lvl>
    <w:lvl w:ilvl="4" w:tplc="CC8CCA76" w:tentative="1">
      <w:start w:val="1"/>
      <w:numFmt w:val="lowerLetter"/>
      <w:lvlText w:val="%5."/>
      <w:lvlJc w:val="left"/>
      <w:pPr>
        <w:ind w:left="3240" w:hanging="360"/>
      </w:pPr>
    </w:lvl>
    <w:lvl w:ilvl="5" w:tplc="87C4E4B0" w:tentative="1">
      <w:start w:val="1"/>
      <w:numFmt w:val="lowerRoman"/>
      <w:lvlText w:val="%6."/>
      <w:lvlJc w:val="right"/>
      <w:pPr>
        <w:ind w:left="3960" w:hanging="180"/>
      </w:pPr>
    </w:lvl>
    <w:lvl w:ilvl="6" w:tplc="B0901B68" w:tentative="1">
      <w:start w:val="1"/>
      <w:numFmt w:val="decimal"/>
      <w:lvlText w:val="%7."/>
      <w:lvlJc w:val="left"/>
      <w:pPr>
        <w:ind w:left="4680" w:hanging="360"/>
      </w:pPr>
    </w:lvl>
    <w:lvl w:ilvl="7" w:tplc="DDBC150A" w:tentative="1">
      <w:start w:val="1"/>
      <w:numFmt w:val="lowerLetter"/>
      <w:lvlText w:val="%8."/>
      <w:lvlJc w:val="left"/>
      <w:pPr>
        <w:ind w:left="5400" w:hanging="360"/>
      </w:pPr>
    </w:lvl>
    <w:lvl w:ilvl="8" w:tplc="A4F01CFA" w:tentative="1">
      <w:start w:val="1"/>
      <w:numFmt w:val="lowerRoman"/>
      <w:lvlText w:val="%9."/>
      <w:lvlJc w:val="right"/>
      <w:pPr>
        <w:ind w:left="6120" w:hanging="180"/>
      </w:pPr>
    </w:lvl>
  </w:abstractNum>
  <w:abstractNum w:abstractNumId="2">
    <w:nsid w:val="3BE45D65"/>
    <w:multiLevelType w:val="hybridMultilevel"/>
    <w:tmpl w:val="6DCA780E"/>
    <w:lvl w:ilvl="0" w:tplc="069CF478">
      <w:start w:val="1"/>
      <w:numFmt w:val="lowerRoman"/>
      <w:lvlText w:val="%1."/>
      <w:lvlJc w:val="right"/>
      <w:pPr>
        <w:ind w:left="720" w:hanging="360"/>
      </w:pPr>
    </w:lvl>
    <w:lvl w:ilvl="1" w:tplc="412EFA6E">
      <w:start w:val="1"/>
      <w:numFmt w:val="lowerLetter"/>
      <w:lvlText w:val="%2."/>
      <w:lvlJc w:val="left"/>
      <w:pPr>
        <w:ind w:left="1440" w:hanging="360"/>
      </w:pPr>
    </w:lvl>
    <w:lvl w:ilvl="2" w:tplc="1A769D5A" w:tentative="1">
      <w:start w:val="1"/>
      <w:numFmt w:val="lowerRoman"/>
      <w:lvlText w:val="%3."/>
      <w:lvlJc w:val="right"/>
      <w:pPr>
        <w:ind w:left="2160" w:hanging="180"/>
      </w:pPr>
    </w:lvl>
    <w:lvl w:ilvl="3" w:tplc="F6C23040" w:tentative="1">
      <w:start w:val="1"/>
      <w:numFmt w:val="decimal"/>
      <w:lvlText w:val="%4."/>
      <w:lvlJc w:val="left"/>
      <w:pPr>
        <w:ind w:left="2880" w:hanging="360"/>
      </w:pPr>
    </w:lvl>
    <w:lvl w:ilvl="4" w:tplc="8E388156" w:tentative="1">
      <w:start w:val="1"/>
      <w:numFmt w:val="lowerLetter"/>
      <w:lvlText w:val="%5."/>
      <w:lvlJc w:val="left"/>
      <w:pPr>
        <w:ind w:left="3600" w:hanging="360"/>
      </w:pPr>
    </w:lvl>
    <w:lvl w:ilvl="5" w:tplc="5770B47E" w:tentative="1">
      <w:start w:val="1"/>
      <w:numFmt w:val="lowerRoman"/>
      <w:lvlText w:val="%6."/>
      <w:lvlJc w:val="right"/>
      <w:pPr>
        <w:ind w:left="4320" w:hanging="180"/>
      </w:pPr>
    </w:lvl>
    <w:lvl w:ilvl="6" w:tplc="E2D81F4E" w:tentative="1">
      <w:start w:val="1"/>
      <w:numFmt w:val="decimal"/>
      <w:lvlText w:val="%7."/>
      <w:lvlJc w:val="left"/>
      <w:pPr>
        <w:ind w:left="5040" w:hanging="360"/>
      </w:pPr>
    </w:lvl>
    <w:lvl w:ilvl="7" w:tplc="3970DB54" w:tentative="1">
      <w:start w:val="1"/>
      <w:numFmt w:val="lowerLetter"/>
      <w:lvlText w:val="%8."/>
      <w:lvlJc w:val="left"/>
      <w:pPr>
        <w:ind w:left="5760" w:hanging="360"/>
      </w:pPr>
    </w:lvl>
    <w:lvl w:ilvl="8" w:tplc="C5DC124E" w:tentative="1">
      <w:start w:val="1"/>
      <w:numFmt w:val="lowerRoman"/>
      <w:lvlText w:val="%9."/>
      <w:lvlJc w:val="right"/>
      <w:pPr>
        <w:ind w:left="6480" w:hanging="180"/>
      </w:pPr>
    </w:lvl>
  </w:abstractNum>
  <w:abstractNum w:abstractNumId="3">
    <w:nsid w:val="51543F44"/>
    <w:multiLevelType w:val="hybridMultilevel"/>
    <w:tmpl w:val="9DFC7908"/>
    <w:lvl w:ilvl="0" w:tplc="EDE88072">
      <w:start w:val="1"/>
      <w:numFmt w:val="lowerRoman"/>
      <w:lvlText w:val="%1."/>
      <w:lvlJc w:val="right"/>
      <w:pPr>
        <w:ind w:left="720" w:hanging="360"/>
      </w:pPr>
    </w:lvl>
    <w:lvl w:ilvl="1" w:tplc="173CA33C">
      <w:start w:val="1"/>
      <w:numFmt w:val="lowerRoman"/>
      <w:lvlText w:val="%2."/>
      <w:lvlJc w:val="right"/>
      <w:pPr>
        <w:ind w:left="1440" w:hanging="360"/>
      </w:pPr>
    </w:lvl>
    <w:lvl w:ilvl="2" w:tplc="E278C13C" w:tentative="1">
      <w:start w:val="1"/>
      <w:numFmt w:val="lowerRoman"/>
      <w:lvlText w:val="%3."/>
      <w:lvlJc w:val="right"/>
      <w:pPr>
        <w:ind w:left="2160" w:hanging="180"/>
      </w:pPr>
    </w:lvl>
    <w:lvl w:ilvl="3" w:tplc="A614E11E" w:tentative="1">
      <w:start w:val="1"/>
      <w:numFmt w:val="decimal"/>
      <w:lvlText w:val="%4."/>
      <w:lvlJc w:val="left"/>
      <w:pPr>
        <w:ind w:left="2880" w:hanging="360"/>
      </w:pPr>
    </w:lvl>
    <w:lvl w:ilvl="4" w:tplc="D01EB274" w:tentative="1">
      <w:start w:val="1"/>
      <w:numFmt w:val="lowerLetter"/>
      <w:lvlText w:val="%5."/>
      <w:lvlJc w:val="left"/>
      <w:pPr>
        <w:ind w:left="3600" w:hanging="360"/>
      </w:pPr>
    </w:lvl>
    <w:lvl w:ilvl="5" w:tplc="9580D5CE" w:tentative="1">
      <w:start w:val="1"/>
      <w:numFmt w:val="lowerRoman"/>
      <w:lvlText w:val="%6."/>
      <w:lvlJc w:val="right"/>
      <w:pPr>
        <w:ind w:left="4320" w:hanging="180"/>
      </w:pPr>
    </w:lvl>
    <w:lvl w:ilvl="6" w:tplc="C2C46120" w:tentative="1">
      <w:start w:val="1"/>
      <w:numFmt w:val="decimal"/>
      <w:lvlText w:val="%7."/>
      <w:lvlJc w:val="left"/>
      <w:pPr>
        <w:ind w:left="5040" w:hanging="360"/>
      </w:pPr>
    </w:lvl>
    <w:lvl w:ilvl="7" w:tplc="9B7EC12A" w:tentative="1">
      <w:start w:val="1"/>
      <w:numFmt w:val="lowerLetter"/>
      <w:lvlText w:val="%8."/>
      <w:lvlJc w:val="left"/>
      <w:pPr>
        <w:ind w:left="5760" w:hanging="360"/>
      </w:pPr>
    </w:lvl>
    <w:lvl w:ilvl="8" w:tplc="23B682A0" w:tentative="1">
      <w:start w:val="1"/>
      <w:numFmt w:val="lowerRoman"/>
      <w:lvlText w:val="%9."/>
      <w:lvlJc w:val="right"/>
      <w:pPr>
        <w:ind w:left="6480" w:hanging="180"/>
      </w:pPr>
    </w:lvl>
  </w:abstractNum>
  <w:abstractNum w:abstractNumId="4">
    <w:nsid w:val="621A3B82"/>
    <w:multiLevelType w:val="hybridMultilevel"/>
    <w:tmpl w:val="B750EC92"/>
    <w:lvl w:ilvl="0" w:tplc="637AC45A">
      <w:start w:val="1"/>
      <w:numFmt w:val="decimal"/>
      <w:lvlText w:val="%1."/>
      <w:lvlJc w:val="left"/>
      <w:pPr>
        <w:ind w:left="720" w:hanging="360"/>
      </w:pPr>
      <w:rPr>
        <w:rFonts w:hint="default"/>
      </w:rPr>
    </w:lvl>
    <w:lvl w:ilvl="1" w:tplc="3162C260">
      <w:start w:val="1"/>
      <w:numFmt w:val="lowerLetter"/>
      <w:lvlText w:val="%2."/>
      <w:lvlJc w:val="left"/>
      <w:pPr>
        <w:ind w:left="1440" w:hanging="360"/>
      </w:pPr>
    </w:lvl>
    <w:lvl w:ilvl="2" w:tplc="50F6532C" w:tentative="1">
      <w:start w:val="1"/>
      <w:numFmt w:val="lowerRoman"/>
      <w:lvlText w:val="%3."/>
      <w:lvlJc w:val="right"/>
      <w:pPr>
        <w:ind w:left="2160" w:hanging="180"/>
      </w:pPr>
    </w:lvl>
    <w:lvl w:ilvl="3" w:tplc="37AADF9C" w:tentative="1">
      <w:start w:val="1"/>
      <w:numFmt w:val="decimal"/>
      <w:lvlText w:val="%4."/>
      <w:lvlJc w:val="left"/>
      <w:pPr>
        <w:ind w:left="2880" w:hanging="360"/>
      </w:pPr>
    </w:lvl>
    <w:lvl w:ilvl="4" w:tplc="15FCA604" w:tentative="1">
      <w:start w:val="1"/>
      <w:numFmt w:val="lowerLetter"/>
      <w:lvlText w:val="%5."/>
      <w:lvlJc w:val="left"/>
      <w:pPr>
        <w:ind w:left="3600" w:hanging="360"/>
      </w:pPr>
    </w:lvl>
    <w:lvl w:ilvl="5" w:tplc="9ACADE70" w:tentative="1">
      <w:start w:val="1"/>
      <w:numFmt w:val="lowerRoman"/>
      <w:lvlText w:val="%6."/>
      <w:lvlJc w:val="right"/>
      <w:pPr>
        <w:ind w:left="4320" w:hanging="180"/>
      </w:pPr>
    </w:lvl>
    <w:lvl w:ilvl="6" w:tplc="F0E2A116" w:tentative="1">
      <w:start w:val="1"/>
      <w:numFmt w:val="decimal"/>
      <w:lvlText w:val="%7."/>
      <w:lvlJc w:val="left"/>
      <w:pPr>
        <w:ind w:left="5040" w:hanging="360"/>
      </w:pPr>
    </w:lvl>
    <w:lvl w:ilvl="7" w:tplc="351A85F6" w:tentative="1">
      <w:start w:val="1"/>
      <w:numFmt w:val="lowerLetter"/>
      <w:lvlText w:val="%8."/>
      <w:lvlJc w:val="left"/>
      <w:pPr>
        <w:ind w:left="5760" w:hanging="360"/>
      </w:pPr>
    </w:lvl>
    <w:lvl w:ilvl="8" w:tplc="A7A285FC" w:tentative="1">
      <w:start w:val="1"/>
      <w:numFmt w:val="lowerRoman"/>
      <w:lvlText w:val="%9."/>
      <w:lvlJc w:val="right"/>
      <w:pPr>
        <w:ind w:left="6480" w:hanging="180"/>
      </w:pPr>
    </w:lvl>
  </w:abstractNum>
  <w:abstractNum w:abstractNumId="5">
    <w:nsid w:val="6DAA70FC"/>
    <w:multiLevelType w:val="hybridMultilevel"/>
    <w:tmpl w:val="921CC22E"/>
    <w:lvl w:ilvl="0" w:tplc="67D00F04">
      <w:start w:val="1"/>
      <w:numFmt w:val="lowerLetter"/>
      <w:lvlText w:val="%1."/>
      <w:lvlJc w:val="left"/>
      <w:pPr>
        <w:ind w:left="360" w:hanging="360"/>
      </w:pPr>
    </w:lvl>
    <w:lvl w:ilvl="1" w:tplc="8258FA2C">
      <w:start w:val="1"/>
      <w:numFmt w:val="lowerLetter"/>
      <w:lvlText w:val="%2."/>
      <w:lvlJc w:val="left"/>
      <w:pPr>
        <w:ind w:left="1080" w:hanging="360"/>
      </w:pPr>
    </w:lvl>
    <w:lvl w:ilvl="2" w:tplc="2CCAD122" w:tentative="1">
      <w:start w:val="1"/>
      <w:numFmt w:val="lowerRoman"/>
      <w:lvlText w:val="%3."/>
      <w:lvlJc w:val="right"/>
      <w:pPr>
        <w:ind w:left="1800" w:hanging="180"/>
      </w:pPr>
    </w:lvl>
    <w:lvl w:ilvl="3" w:tplc="9544D80E" w:tentative="1">
      <w:start w:val="1"/>
      <w:numFmt w:val="decimal"/>
      <w:lvlText w:val="%4."/>
      <w:lvlJc w:val="left"/>
      <w:pPr>
        <w:ind w:left="2520" w:hanging="360"/>
      </w:pPr>
    </w:lvl>
    <w:lvl w:ilvl="4" w:tplc="45089578" w:tentative="1">
      <w:start w:val="1"/>
      <w:numFmt w:val="lowerLetter"/>
      <w:lvlText w:val="%5."/>
      <w:lvlJc w:val="left"/>
      <w:pPr>
        <w:ind w:left="3240" w:hanging="360"/>
      </w:pPr>
    </w:lvl>
    <w:lvl w:ilvl="5" w:tplc="B5760734" w:tentative="1">
      <w:start w:val="1"/>
      <w:numFmt w:val="lowerRoman"/>
      <w:lvlText w:val="%6."/>
      <w:lvlJc w:val="right"/>
      <w:pPr>
        <w:ind w:left="3960" w:hanging="180"/>
      </w:pPr>
    </w:lvl>
    <w:lvl w:ilvl="6" w:tplc="C6E252C8" w:tentative="1">
      <w:start w:val="1"/>
      <w:numFmt w:val="decimal"/>
      <w:lvlText w:val="%7."/>
      <w:lvlJc w:val="left"/>
      <w:pPr>
        <w:ind w:left="4680" w:hanging="360"/>
      </w:pPr>
    </w:lvl>
    <w:lvl w:ilvl="7" w:tplc="1556D1AE" w:tentative="1">
      <w:start w:val="1"/>
      <w:numFmt w:val="lowerLetter"/>
      <w:lvlText w:val="%8."/>
      <w:lvlJc w:val="left"/>
      <w:pPr>
        <w:ind w:left="5400" w:hanging="360"/>
      </w:pPr>
    </w:lvl>
    <w:lvl w:ilvl="8" w:tplc="97E47EA6" w:tentative="1">
      <w:start w:val="1"/>
      <w:numFmt w:val="lowerRoman"/>
      <w:lvlText w:val="%9."/>
      <w:lvlJc w:val="right"/>
      <w:pPr>
        <w:ind w:left="6120" w:hanging="180"/>
      </w:pPr>
    </w:lvl>
  </w:abstractNum>
  <w:num w:numId="1">
    <w:abstractNumId w:val="4"/>
  </w:num>
  <w:num w:numId="2">
    <w:abstractNumId w:val="2"/>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CwNDUxMzSwMDc2tDRS0lEKTi0uzszPAykwrAUAkuPyIiwAAAA="/>
  </w:docVars>
  <w:rsids>
    <w:rsidRoot w:val="00217676"/>
    <w:rsid w:val="000F63DF"/>
    <w:rsid w:val="0010772A"/>
    <w:rsid w:val="001C0FD0"/>
    <w:rsid w:val="00217676"/>
    <w:rsid w:val="002B79D3"/>
    <w:rsid w:val="00370E02"/>
    <w:rsid w:val="00375DB9"/>
    <w:rsid w:val="005C6ED8"/>
    <w:rsid w:val="005D30B7"/>
    <w:rsid w:val="00650B89"/>
    <w:rsid w:val="00706174"/>
    <w:rsid w:val="007833AB"/>
    <w:rsid w:val="008B0C79"/>
    <w:rsid w:val="00987C59"/>
    <w:rsid w:val="0099436C"/>
    <w:rsid w:val="00A95FB0"/>
    <w:rsid w:val="00AE46F7"/>
    <w:rsid w:val="00B332B4"/>
    <w:rsid w:val="00D84454"/>
    <w:rsid w:val="00D93A07"/>
    <w:rsid w:val="00DC794F"/>
    <w:rsid w:val="00E83FB7"/>
    <w:rsid w:val="00F3471C"/>
    <w:rsid w:val="00FF6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676"/>
  </w:style>
  <w:style w:type="paragraph" w:styleId="Footer">
    <w:name w:val="footer"/>
    <w:basedOn w:val="Normal"/>
    <w:link w:val="FooterChar"/>
    <w:uiPriority w:val="99"/>
    <w:unhideWhenUsed/>
    <w:rsid w:val="00217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676"/>
  </w:style>
  <w:style w:type="paragraph" w:styleId="BalloonText">
    <w:name w:val="Balloon Text"/>
    <w:basedOn w:val="Normal"/>
    <w:link w:val="BalloonTextChar"/>
    <w:uiPriority w:val="99"/>
    <w:semiHidden/>
    <w:unhideWhenUsed/>
    <w:rsid w:val="002176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676"/>
    <w:rPr>
      <w:rFonts w:ascii="Tahoma" w:hAnsi="Tahoma" w:cs="Tahoma"/>
      <w:sz w:val="16"/>
      <w:szCs w:val="16"/>
    </w:rPr>
  </w:style>
  <w:style w:type="paragraph" w:styleId="ListParagraph">
    <w:name w:val="List Paragraph"/>
    <w:basedOn w:val="Normal"/>
    <w:uiPriority w:val="34"/>
    <w:qFormat/>
    <w:rsid w:val="000F63DF"/>
    <w:pPr>
      <w:spacing w:after="160" w:line="259" w:lineRule="auto"/>
      <w:ind w:left="720"/>
      <w:contextualSpacing/>
    </w:pPr>
  </w:style>
  <w:style w:type="paragraph" w:styleId="Bibliography">
    <w:name w:val="Bibliography"/>
    <w:basedOn w:val="Normal"/>
    <w:next w:val="Normal"/>
    <w:uiPriority w:val="37"/>
    <w:unhideWhenUsed/>
    <w:rsid w:val="00D84454"/>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676"/>
  </w:style>
  <w:style w:type="paragraph" w:styleId="Footer">
    <w:name w:val="footer"/>
    <w:basedOn w:val="Normal"/>
    <w:link w:val="FooterChar"/>
    <w:uiPriority w:val="99"/>
    <w:unhideWhenUsed/>
    <w:rsid w:val="00217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676"/>
  </w:style>
  <w:style w:type="paragraph" w:styleId="BalloonText">
    <w:name w:val="Balloon Text"/>
    <w:basedOn w:val="Normal"/>
    <w:link w:val="BalloonTextChar"/>
    <w:uiPriority w:val="99"/>
    <w:semiHidden/>
    <w:unhideWhenUsed/>
    <w:rsid w:val="002176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676"/>
    <w:rPr>
      <w:rFonts w:ascii="Tahoma" w:hAnsi="Tahoma" w:cs="Tahoma"/>
      <w:sz w:val="16"/>
      <w:szCs w:val="16"/>
    </w:rPr>
  </w:style>
  <w:style w:type="paragraph" w:styleId="ListParagraph">
    <w:name w:val="List Paragraph"/>
    <w:basedOn w:val="Normal"/>
    <w:uiPriority w:val="34"/>
    <w:qFormat/>
    <w:rsid w:val="000F63DF"/>
    <w:pPr>
      <w:spacing w:after="160" w:line="259" w:lineRule="auto"/>
      <w:ind w:left="720"/>
      <w:contextualSpacing/>
    </w:pPr>
  </w:style>
  <w:style w:type="paragraph" w:styleId="Bibliography">
    <w:name w:val="Bibliography"/>
    <w:basedOn w:val="Normal"/>
    <w:next w:val="Normal"/>
    <w:uiPriority w:val="37"/>
    <w:unhideWhenUsed/>
    <w:rsid w:val="00D84454"/>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1412</Words>
  <Characters>8050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2019-04-28T03:24:00Z</dcterms:created>
  <dcterms:modified xsi:type="dcterms:W3CDTF">2019-04-28T03:24:00Z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id="6yqOqnu6"/&gt;&lt;style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